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page" w:tblpX="7588" w:tblpY="-1184"/>
        <w:tblW w:w="4350" w:type="dxa"/>
        <w:tblLook w:val="04A0" w:firstRow="1" w:lastRow="0" w:firstColumn="1" w:lastColumn="0" w:noHBand="0" w:noVBand="1"/>
      </w:tblPr>
      <w:tblGrid>
        <w:gridCol w:w="4350"/>
      </w:tblGrid>
      <w:tr w:rsidR="005F678D" w:rsidTr="005F678D">
        <w:trPr>
          <w:trHeight w:val="378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5F678D" w:rsidRDefault="005F678D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PATVIRTINTA</w:t>
            </w:r>
          </w:p>
          <w:p w:rsidR="005F678D" w:rsidRDefault="005F678D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lopšelisdarželis„Riešutėlis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  <w:p w:rsidR="005F678D" w:rsidRDefault="004D631B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Direktoriaus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  <w:r w:rsidR="005F6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="005F678D"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proofErr w:type="spellEnd"/>
            <w:r w:rsidR="005F6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5B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B6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  <w:p w:rsidR="005F678D" w:rsidRPr="00FB60B4" w:rsidRDefault="005F678D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Įsakymu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V-</w:t>
            </w:r>
          </w:p>
          <w:p w:rsidR="005F678D" w:rsidRPr="00AF337A" w:rsidRDefault="005F678D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F678D" w:rsidRDefault="005F678D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78D" w:rsidRPr="00AF337A" w:rsidRDefault="005F678D" w:rsidP="005F67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78D" w:rsidRDefault="005F678D" w:rsidP="005F6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F678D" w:rsidRDefault="005F678D" w:rsidP="005F6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E0A69" w:rsidRDefault="00AE0A69" w:rsidP="005F6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atlyginimo už vaikų, UGDOMŲ pagal ikimokyklinio ir priešmokyklinio ugdymo programas, išlaik</w:t>
      </w:r>
      <w:r w:rsidR="00FB60B4">
        <w:rPr>
          <w:rFonts w:ascii="Times New Roman" w:eastAsia="Times New Roman" w:hAnsi="Times New Roman" w:cs="Times New Roman"/>
          <w:b/>
          <w:caps/>
          <w:sz w:val="24"/>
        </w:rPr>
        <w:t>yMO LOPŠELYJE-DARŽELYJE „Riešutėlis</w:t>
      </w:r>
      <w:r>
        <w:rPr>
          <w:rFonts w:ascii="Times New Roman" w:eastAsia="Times New Roman" w:hAnsi="Times New Roman" w:cs="Times New Roman"/>
          <w:b/>
          <w:caps/>
          <w:sz w:val="24"/>
        </w:rPr>
        <w:t>“ nustatymo</w:t>
      </w:r>
      <w:r w:rsidR="00FB60B4">
        <w:rPr>
          <w:rFonts w:ascii="Times New Roman" w:eastAsia="Times New Roman" w:hAnsi="Times New Roman" w:cs="Times New Roman"/>
          <w:b/>
          <w:caps/>
          <w:sz w:val="24"/>
        </w:rPr>
        <w:t xml:space="preserve"> ir tėvų atsiskaitymo su darželiu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tvarkos aprašAS</w:t>
      </w:r>
    </w:p>
    <w:p w:rsidR="005F678D" w:rsidRDefault="005F678D" w:rsidP="006532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E0A69" w:rsidRDefault="00AE0A69" w:rsidP="00AE0A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BENDROSIOS NUOSTATOS</w:t>
      </w:r>
    </w:p>
    <w:p w:rsidR="00AE0A69" w:rsidRDefault="00AE0A69" w:rsidP="00AE0A69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</w:rPr>
      </w:pPr>
    </w:p>
    <w:p w:rsidR="00AE0A69" w:rsidRDefault="00AE0A69" w:rsidP="00AE0A6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Atlyginimo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vaikų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ugdomų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ikimokyklinio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priešmokyklinio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ugdymo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programas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lopšelyje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darželyje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Riešutėlis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nustatymo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atsiskaitymo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darželiu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tvarkos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aprašas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toliau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Aprašas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reglamentuoja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tėvų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kitų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teisėtų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atstovų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toliau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tėvai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mokesčio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dydžio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ikimokyklinio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priešmokyklinio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amžiaus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vaikų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maitinimo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mokesčio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reikmėms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nustatymą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atlyginimo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lengvatų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taikymo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 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pateikiamų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dokumentų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lengvatoms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taikyti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priėmimo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atsiskaitymo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60B4">
        <w:rPr>
          <w:rFonts w:ascii="Times New Roman" w:eastAsia="Times New Roman" w:hAnsi="Times New Roman" w:cs="Times New Roman"/>
          <w:sz w:val="24"/>
        </w:rPr>
        <w:t>darželiu</w:t>
      </w:r>
      <w:proofErr w:type="spellEnd"/>
      <w:r w:rsidR="00FB60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tvarką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0A69" w:rsidRDefault="00AE0A69" w:rsidP="00AE0A6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Atlyginimą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ugdomo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ikimokyklinio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priešmokyklinio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ugdymo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Savivaldybės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ikimokyklinio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ugdymo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mokyklose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toliau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atlyginimas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moka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tėvai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E0A69" w:rsidRDefault="00AE0A69" w:rsidP="00AE0A6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Atlyginimas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susideda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vienos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mokesčio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maitinimą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mokesčio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reikmėms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ugdymo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aplinkos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0A69" w:rsidRPr="00EC5619" w:rsidRDefault="00FC14AA" w:rsidP="00EC56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Mokestį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įstaigos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reikmėms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sudaro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ugdymo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aplinkai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išlaikyti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skirtos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išlaidos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prekėms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ir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priemonėms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higienos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normų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reikalavimams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vykdyti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baldams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aprangai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patalynei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spaudiniams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kanceliarinėms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prekėms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ugdymo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priemonėms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įs</w:t>
      </w:r>
      <w:r w:rsidR="005B2322">
        <w:rPr>
          <w:rFonts w:ascii="Times New Roman" w:eastAsia="Times New Roman" w:hAnsi="Times New Roman" w:cs="Times New Roman"/>
          <w:color w:val="000000"/>
          <w:sz w:val="24"/>
        </w:rPr>
        <w:t>igyti</w:t>
      </w:r>
      <w:proofErr w:type="spellEnd"/>
      <w:r w:rsidR="005B232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ilgalaikio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turto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einamajam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remontui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ryšių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interneto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paslaugoms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interneto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svetainės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priežiūrai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būtinosioms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paslaugoms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ir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patikroms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Šis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mokestis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nepriklauso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nuo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to,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kiek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AE0A69">
        <w:rPr>
          <w:rFonts w:ascii="Times New Roman" w:eastAsia="Times New Roman" w:hAnsi="Times New Roman" w:cs="Times New Roman"/>
          <w:color w:val="000000"/>
          <w:sz w:val="24"/>
        </w:rPr>
        <w:t>va</w:t>
      </w:r>
      <w:r w:rsidR="00215B07">
        <w:rPr>
          <w:rFonts w:ascii="Times New Roman" w:eastAsia="Times New Roman" w:hAnsi="Times New Roman" w:cs="Times New Roman"/>
          <w:color w:val="000000"/>
          <w:sz w:val="24"/>
        </w:rPr>
        <w:t>landų</w:t>
      </w:r>
      <w:proofErr w:type="spellEnd"/>
      <w:r w:rsidR="00215B07">
        <w:rPr>
          <w:rFonts w:ascii="Times New Roman" w:eastAsia="Times New Roman" w:hAnsi="Times New Roman" w:cs="Times New Roman"/>
          <w:color w:val="000000"/>
          <w:sz w:val="24"/>
        </w:rPr>
        <w:t xml:space="preserve">  per</w:t>
      </w:r>
      <w:proofErr w:type="gram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mėnesį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vaikas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lankė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įstaigą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ir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yra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mokamas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už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kiekvieną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ikimokykl</w:t>
      </w:r>
      <w:r w:rsidR="00215B07">
        <w:rPr>
          <w:rFonts w:ascii="Times New Roman" w:eastAsia="Times New Roman" w:hAnsi="Times New Roman" w:cs="Times New Roman"/>
          <w:color w:val="000000"/>
          <w:sz w:val="24"/>
        </w:rPr>
        <w:t>inio</w:t>
      </w:r>
      <w:proofErr w:type="spellEnd"/>
      <w:r w:rsidR="00215B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color w:val="000000"/>
          <w:sz w:val="24"/>
        </w:rPr>
        <w:t>ugdymo</w:t>
      </w:r>
      <w:proofErr w:type="spellEnd"/>
      <w:r w:rsidR="00215B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color w:val="000000"/>
          <w:sz w:val="24"/>
        </w:rPr>
        <w:t>mokyklos</w:t>
      </w:r>
      <w:proofErr w:type="spellEnd"/>
      <w:r w:rsidR="00215B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color w:val="000000"/>
          <w:sz w:val="24"/>
        </w:rPr>
        <w:t>darbo</w:t>
      </w:r>
      <w:proofErr w:type="spellEnd"/>
      <w:r w:rsidR="00215B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color w:val="000000"/>
          <w:sz w:val="24"/>
        </w:rPr>
        <w:t>mėnesį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</w:p>
    <w:p w:rsidR="00AE0A69" w:rsidRDefault="00AE0A69" w:rsidP="00AE0A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0A69" w:rsidRDefault="00AE0A69" w:rsidP="005F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ATLYGINIMO DYDŽIO UŽ VAIKŲ IŠLAIKYMĄ NUSTATYMAS</w:t>
      </w:r>
    </w:p>
    <w:p w:rsidR="00AE0A69" w:rsidRDefault="00AE0A69" w:rsidP="005F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0A69" w:rsidRDefault="00FC14AA" w:rsidP="00AE0A6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Ikimokyklinio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priešmokyklinio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amžiaus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vaikai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lankantys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ilgesnės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kaip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4 val.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trukmės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grupę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gali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būti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nemaitinami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Mokestis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maitinimą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nemokamas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Tokiu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atveju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tėvai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pateikia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prašymus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kuriuose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nurodo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pasirenkamą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ugdomąją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veiklą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, bet ne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ilgesnę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kaip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4 val., o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vadovas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tvirtina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atskirą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vaikų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sąrašą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Pageidaujantiems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maitintis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taikoma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amžiaus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grupės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maitinimosi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išlaidų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E0A69">
        <w:rPr>
          <w:rFonts w:ascii="Times New Roman" w:eastAsia="Times New Roman" w:hAnsi="Times New Roman" w:cs="Times New Roman"/>
          <w:sz w:val="24"/>
        </w:rPr>
        <w:t>norma</w:t>
      </w:r>
      <w:proofErr w:type="spellEnd"/>
      <w:proofErr w:type="gramEnd"/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</w:p>
    <w:p w:rsidR="00AE0A69" w:rsidRDefault="00FC14AA" w:rsidP="00AE0A6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Mokestį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maitinimą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tėvai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moka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100 proc.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nustatytos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1 (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vieno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), </w:t>
      </w:r>
      <w:proofErr w:type="gramStart"/>
      <w:r w:rsidR="00AE0A69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="00AE0A69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dvi</w:t>
      </w:r>
      <w:r w:rsidR="00EC5619">
        <w:rPr>
          <w:rFonts w:ascii="Times New Roman" w:eastAsia="Times New Roman" w:hAnsi="Times New Roman" w:cs="Times New Roman"/>
          <w:sz w:val="24"/>
        </w:rPr>
        <w:t>ejų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>), 3 (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trijų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>)</w:t>
      </w:r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kartų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per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dieną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maitinimo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normos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kiekvieną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la</w:t>
      </w:r>
      <w:r w:rsidR="00215B07">
        <w:rPr>
          <w:rFonts w:ascii="Times New Roman" w:eastAsia="Times New Roman" w:hAnsi="Times New Roman" w:cs="Times New Roman"/>
          <w:sz w:val="24"/>
        </w:rPr>
        <w:t>nkytą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dieną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>:</w:t>
      </w:r>
    </w:p>
    <w:p w:rsidR="00AE0A69" w:rsidRDefault="00AE0A69" w:rsidP="00AE0A69">
      <w:pPr>
        <w:tabs>
          <w:tab w:val="left" w:pos="709"/>
        </w:tabs>
        <w:spacing w:after="0" w:line="240" w:lineRule="auto"/>
        <w:ind w:right="261"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125"/>
        <w:gridCol w:w="1125"/>
        <w:gridCol w:w="1125"/>
        <w:gridCol w:w="1125"/>
        <w:gridCol w:w="1125"/>
        <w:gridCol w:w="1125"/>
        <w:gridCol w:w="1125"/>
      </w:tblGrid>
      <w:tr w:rsidR="00AE0A69" w:rsidTr="00EC5619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Pusry-čių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Pietų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Vaka-rienės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Nakti-piečių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maiti-nimo</w:t>
            </w:r>
            <w:proofErr w:type="spellEnd"/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maiti-nimo</w:t>
            </w:r>
            <w:proofErr w:type="spellEnd"/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maiti-nimo</w:t>
            </w:r>
            <w:proofErr w:type="spellEnd"/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-tis</w:t>
            </w:r>
          </w:p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</w:p>
        </w:tc>
      </w:tr>
      <w:tr w:rsidR="00AE0A69" w:rsidTr="00EC5619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Lopšelio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A69" w:rsidTr="00EC5619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Darželio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A69" w:rsidTr="00EC5619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Priešmokyk-linė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A69" w:rsidRDefault="00AE0A69" w:rsidP="00FD01A9">
            <w:pPr>
              <w:tabs>
                <w:tab w:val="left" w:pos="709"/>
              </w:tabs>
              <w:spacing w:after="0" w:line="240" w:lineRule="auto"/>
              <w:ind w:right="261"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E0A69" w:rsidRDefault="00AE0A69" w:rsidP="00AE0A69">
      <w:pPr>
        <w:tabs>
          <w:tab w:val="left" w:pos="709"/>
        </w:tabs>
        <w:spacing w:after="0" w:line="240" w:lineRule="auto"/>
        <w:ind w:right="261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E0A69" w:rsidRDefault="00FC14AA" w:rsidP="00AE0A6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EC561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Valgiaraščiai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atitinka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valgiaraščių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sudarymo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reikalavimus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ikim</w:t>
      </w:r>
      <w:r w:rsidR="00EC5619">
        <w:rPr>
          <w:rFonts w:ascii="Times New Roman" w:eastAsia="Times New Roman" w:hAnsi="Times New Roman" w:cs="Times New Roman"/>
          <w:sz w:val="24"/>
        </w:rPr>
        <w:t>okyklinio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ugdymo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C5619">
        <w:rPr>
          <w:rFonts w:ascii="Times New Roman" w:eastAsia="Times New Roman" w:hAnsi="Times New Roman" w:cs="Times New Roman"/>
          <w:sz w:val="24"/>
        </w:rPr>
        <w:t>mokykloms</w:t>
      </w:r>
      <w:proofErr w:type="spellEnd"/>
      <w:r w:rsidR="00EC5619">
        <w:rPr>
          <w:rFonts w:ascii="Times New Roman" w:eastAsia="Times New Roman" w:hAnsi="Times New Roman" w:cs="Times New Roman"/>
          <w:sz w:val="24"/>
        </w:rPr>
        <w:t>,</w:t>
      </w:r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parengti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suderinti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teisės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aktų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nustatyta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sz w:val="24"/>
        </w:rPr>
        <w:t>tvarka</w:t>
      </w:r>
      <w:proofErr w:type="spellEnd"/>
      <w:r w:rsidR="00AE0A6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Ekstremalių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įvykių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metu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kai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maitinimas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neorganizuojamas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ugdymo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procesas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sutrumpinamas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 xml:space="preserve"> 4 val. per </w:t>
      </w:r>
      <w:proofErr w:type="spellStart"/>
      <w:r w:rsidR="00AE0A69">
        <w:rPr>
          <w:rFonts w:ascii="Times New Roman" w:eastAsia="Times New Roman" w:hAnsi="Times New Roman" w:cs="Times New Roman"/>
          <w:color w:val="000000"/>
          <w:sz w:val="24"/>
        </w:rPr>
        <w:t>dieną</w:t>
      </w:r>
      <w:proofErr w:type="spellEnd"/>
      <w:r w:rsidR="00AE0A6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319F0" w:rsidRDefault="00A319F0" w:rsidP="00A319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Ekstremalūs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įvykiai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</w:rPr>
        <w:t>tai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situacijos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kurių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techninių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užkrečiamųjų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ligų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protrūkio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priežasčių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nutraukiamas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319F0" w:rsidRDefault="00B00865" w:rsidP="00B008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FC14AA">
        <w:rPr>
          <w:rFonts w:ascii="Times New Roman" w:eastAsia="Times New Roman" w:hAnsi="Times New Roman" w:cs="Times New Roman"/>
          <w:sz w:val="24"/>
        </w:rPr>
        <w:t>8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kiekvieną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mėnesį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nustatomas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11.50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mokestis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reikmėms.Šis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mokestis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netaikomas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įstaigose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kuriose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vasaros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laikotarpiu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nevykdoma</w:t>
      </w:r>
      <w:proofErr w:type="spellEnd"/>
      <w:r w:rsidR="00A343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43E7">
        <w:rPr>
          <w:rFonts w:ascii="Times New Roman" w:eastAsia="Times New Roman" w:hAnsi="Times New Roman" w:cs="Times New Roman"/>
          <w:sz w:val="24"/>
        </w:rPr>
        <w:t>veikla</w:t>
      </w:r>
      <w:proofErr w:type="spellEnd"/>
    </w:p>
    <w:p w:rsidR="00A319F0" w:rsidRPr="0041249B" w:rsidRDefault="00FC14AA" w:rsidP="0041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A343E7">
        <w:rPr>
          <w:rFonts w:ascii="Times New Roman" w:eastAsia="Times New Roman" w:hAnsi="Times New Roman" w:cs="Times New Roman"/>
          <w:sz w:val="24"/>
        </w:rPr>
        <w:t>.1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ikimokyklinio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ugdymo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mokykloje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turi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sumokėti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išankstinį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negrąžintiną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mokestį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reikmių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mokestį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lankysimą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(-us)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vasaros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laikotarpį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(-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ATLYGINIMO UŽ VAIKŲ IŠLAIKYMĄ LENGVATŲ TAIKYMAS</w:t>
      </w: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9F0" w:rsidRPr="00215B07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Nuo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mokesčio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maitinimą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ikimokyklinio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ir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priešmokyklinio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ugdymo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įstaigose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215B07">
        <w:rPr>
          <w:rFonts w:ascii="Times New Roman" w:eastAsia="Times New Roman" w:hAnsi="Times New Roman" w:cs="Times New Roman"/>
          <w:b/>
          <w:sz w:val="24"/>
        </w:rPr>
        <w:t>atleidžiami</w:t>
      </w:r>
      <w:proofErr w:type="spellEnd"/>
      <w:r w:rsidR="00A319F0" w:rsidRPr="00215B07">
        <w:rPr>
          <w:rFonts w:ascii="Times New Roman" w:eastAsia="Times New Roman" w:hAnsi="Times New Roman" w:cs="Times New Roman"/>
          <w:b/>
          <w:sz w:val="24"/>
        </w:rPr>
        <w:t xml:space="preserve"> 100 proc.: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A319F0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kuriems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nustatytas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negalios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lygis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;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A319F0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Lietuvos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Respublikos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piniginės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paramos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nepasiturintiems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gyventojams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įstatymą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socialines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pašalpas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gaunančių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šeimų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pašalpos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skyrimo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laikotarpiu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;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A319F0">
        <w:rPr>
          <w:rFonts w:ascii="Times New Roman" w:eastAsia="Times New Roman" w:hAnsi="Times New Roman" w:cs="Times New Roman"/>
          <w:sz w:val="24"/>
        </w:rPr>
        <w:t xml:space="preserve">.3.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rizikos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šeimų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Savivaldybės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administracijos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apsaugos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skyriaus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pažymas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;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A319F0">
        <w:rPr>
          <w:rFonts w:ascii="Times New Roman" w:eastAsia="Times New Roman" w:hAnsi="Times New Roman" w:cs="Times New Roman"/>
          <w:sz w:val="24"/>
        </w:rPr>
        <w:t xml:space="preserve">.4.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priešmokyklinio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amžiaus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kai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yra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paskirti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nemokami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pusryčiai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pietūs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Lietuvos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Respublikos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paramos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mokiniams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įstatymą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.</w:t>
      </w:r>
    </w:p>
    <w:p w:rsidR="00A319F0" w:rsidRPr="005B2322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Mokestis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maitinimą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ikimokyklinio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ir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priešmokyklinio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amžiaus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grupėse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mažinamas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 xml:space="preserve"> 50 </w:t>
      </w:r>
      <w:proofErr w:type="spellStart"/>
      <w:r w:rsidR="00A319F0" w:rsidRPr="005B2322">
        <w:rPr>
          <w:rFonts w:ascii="Times New Roman" w:eastAsia="Times New Roman" w:hAnsi="Times New Roman" w:cs="Times New Roman"/>
          <w:b/>
          <w:sz w:val="24"/>
        </w:rPr>
        <w:t>procentų</w:t>
      </w:r>
      <w:proofErr w:type="spellEnd"/>
      <w:r w:rsidR="00A319F0" w:rsidRPr="005B2322">
        <w:rPr>
          <w:rFonts w:ascii="Times New Roman" w:eastAsia="Times New Roman" w:hAnsi="Times New Roman" w:cs="Times New Roman"/>
          <w:b/>
          <w:sz w:val="24"/>
        </w:rPr>
        <w:t>: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A319F0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jei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turi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tik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vieną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kitas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miręs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pripažintas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dingusiu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žinios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nežinia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kur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esančiu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jei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vienas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pripažintas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neveiksniu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tai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patvirtinančius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; 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A319F0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jei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šeima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augina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tris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daugiau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18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metų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vyresni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24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metų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jei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mokosi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dieninėse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visų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tipų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mokyklose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arba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turintys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negalią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);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A319F0">
        <w:rPr>
          <w:rFonts w:ascii="Times New Roman" w:eastAsia="Times New Roman" w:hAnsi="Times New Roman" w:cs="Times New Roman"/>
          <w:sz w:val="24"/>
        </w:rPr>
        <w:t>.3</w:t>
      </w:r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jei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vienas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moksleivių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studentų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šeimos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mokosi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mokymo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dieniniame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skyriuje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mokymo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pažymas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);</w:t>
      </w:r>
    </w:p>
    <w:p w:rsidR="00A319F0" w:rsidRDefault="00A319F0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FC14A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vaikams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kurių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vienas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atlieka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privalomąją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karinę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tarnybą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šauktiniai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>);</w:t>
      </w:r>
    </w:p>
    <w:p w:rsidR="00A319F0" w:rsidRPr="000917F3" w:rsidRDefault="00A319F0" w:rsidP="00A319F0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5970EE" w:rsidRDefault="005970EE" w:rsidP="0041249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PATEISINAMŲ DOKUMENTŲ LENGVATOMS TAIKYTI PRIĖMIMAS</w:t>
      </w: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kuriuos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taikomos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pateikiami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kartu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prašymu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gauti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priimant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į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ugdymo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o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apie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vėliau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atsiradusią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teisę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į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– bet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kuriuo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metu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Tokiu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atveju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taikoma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kitos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dienos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prašymo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taikyti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galiojimo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termino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pabaigos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Aprašo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15</w:t>
      </w:r>
      <w:r w:rsidR="00A319F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punktas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Pakartotinai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taikomos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nurodytos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taikyti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termino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pradžios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bet ne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daugiau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kaip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du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praėjusius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.</w:t>
      </w:r>
    </w:p>
    <w:p w:rsidR="00A319F0" w:rsidRDefault="00FC14AA" w:rsidP="00FC14A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kuriuos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taikomos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pateikiami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kiekvienais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kalendorini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galiojimas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galiojimą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: </w:t>
      </w:r>
    </w:p>
    <w:p w:rsidR="00A319F0" w:rsidRDefault="00A319F0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FC14A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neįgaliojo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invalidumo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pažymėjimas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galioja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laikotarpį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kuris </w:t>
      </w:r>
      <w:proofErr w:type="spellStart"/>
      <w:r>
        <w:rPr>
          <w:rFonts w:ascii="Times New Roman" w:eastAsia="Times New Roman" w:hAnsi="Times New Roman" w:cs="Times New Roman"/>
          <w:sz w:val="24"/>
        </w:rPr>
        <w:t>nurodytas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pažymėjime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A319F0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Lietuvos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Respublikos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piniginės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paramos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nepasiturintiems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gyventojams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įstatymą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socialines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pašalpas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gaunančių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šeimų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vaikams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pažyma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galioja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pašalpos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skyrimo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ilgiau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kaip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pratęsiant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pašalpos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mokėjimo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laiką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kol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nepaskirta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pašalpa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–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Socialinės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paramos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skyriaus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informacinį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lapą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;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A319F0">
        <w:rPr>
          <w:rFonts w:ascii="Times New Roman" w:eastAsia="Times New Roman" w:hAnsi="Times New Roman" w:cs="Times New Roman"/>
          <w:color w:val="FF0000"/>
          <w:sz w:val="24"/>
        </w:rPr>
        <w:t>.</w:t>
      </w:r>
      <w:r w:rsidR="00A319F0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apsaugos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skyriaus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pažyma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Aprašo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10.3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papunktyje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nurodytus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atvejus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galioja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12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išdavimo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datos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; 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A319F0">
        <w:rPr>
          <w:rFonts w:ascii="Times New Roman" w:eastAsia="Times New Roman" w:hAnsi="Times New Roman" w:cs="Times New Roman"/>
          <w:sz w:val="24"/>
        </w:rPr>
        <w:t xml:space="preserve">.4.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mokymo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pažymos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pateikiamos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kartus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per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metus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rugsėjo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vasario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pagal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Aprašo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11.3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papunktyje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išvardytus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atvejus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).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Laiku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nepateikus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mokestis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skaičiuojamas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bendra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tvarka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.</w:t>
      </w: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ATLYGINIMO UŽ VAIKŲ IŠLAIKYMĄ SURINKIMAS</w:t>
      </w: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Atlyginimas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ugdymo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įstaigoje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turi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būti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sumokėtas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einamąjį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27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dienos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vasario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gruo</w:t>
      </w:r>
      <w:r w:rsidR="001F0B31">
        <w:rPr>
          <w:rFonts w:ascii="Times New Roman" w:eastAsia="Times New Roman" w:hAnsi="Times New Roman" w:cs="Times New Roman"/>
          <w:sz w:val="24"/>
        </w:rPr>
        <w:t>džio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mėnesiais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25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dienos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internetu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arba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Perlo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terminale</w:t>
      </w:r>
      <w:proofErr w:type="spellEnd"/>
      <w:r w:rsidR="005970EE">
        <w:rPr>
          <w:rFonts w:ascii="Times New Roman" w:eastAsia="Times New Roman" w:hAnsi="Times New Roman" w:cs="Times New Roman"/>
          <w:sz w:val="24"/>
        </w:rPr>
        <w:t>.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Pasikeitus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aplinkybėms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dėl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kurių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buvo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taikoma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mokesčio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lengvata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įpareigojami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per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apie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tai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informuoti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grupės</w:t>
      </w:r>
      <w:proofErr w:type="spellEnd"/>
      <w:r w:rsidR="001F0B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0B31">
        <w:rPr>
          <w:rFonts w:ascii="Times New Roman" w:eastAsia="Times New Roman" w:hAnsi="Times New Roman" w:cs="Times New Roman"/>
          <w:sz w:val="24"/>
        </w:rPr>
        <w:t>auklėtoją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</w:p>
    <w:p w:rsidR="00A319F0" w:rsidRDefault="00FC14AA" w:rsidP="00A319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atsako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pateikiamų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dokumentų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informacijos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teisingumą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>.</w:t>
      </w:r>
    </w:p>
    <w:p w:rsidR="00A319F0" w:rsidRDefault="00FC14AA" w:rsidP="00A319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Jeigu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atlyginimas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nesumokamas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ilgiau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kaip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mėnesius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mokyklos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direktorius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turi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teisę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išbraukti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mokinį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mokyklos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sąrašų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anksčiau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kaip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praėjus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kalendorinių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dienų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dienos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, kai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apie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tokį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sprendimą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raštu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informavo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globėjus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319F0" w:rsidRPr="005970EE" w:rsidRDefault="00215B07" w:rsidP="00215B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</w:t>
      </w:r>
      <w:r w:rsidR="00FC14AA">
        <w:rPr>
          <w:rFonts w:ascii="Times New Roman" w:eastAsia="Times New Roman" w:hAnsi="Times New Roman" w:cs="Times New Roman"/>
          <w:sz w:val="24"/>
        </w:rPr>
        <w:t>18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Tėvų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nesumokėtas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atlyginimas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už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išlaikymą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išieškoma</w:t>
      </w:r>
      <w:r w:rsidR="005970EE">
        <w:rPr>
          <w:rFonts w:ascii="Times New Roman" w:eastAsia="Times New Roman" w:hAnsi="Times New Roman" w:cs="Times New Roman"/>
          <w:sz w:val="24"/>
        </w:rPr>
        <w:t>s</w:t>
      </w:r>
      <w:proofErr w:type="spellEnd"/>
      <w:r w:rsidR="005970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970EE">
        <w:rPr>
          <w:rFonts w:ascii="Times New Roman" w:eastAsia="Times New Roman" w:hAnsi="Times New Roman" w:cs="Times New Roman"/>
          <w:sz w:val="24"/>
        </w:rPr>
        <w:t>teisės</w:t>
      </w:r>
      <w:proofErr w:type="spellEnd"/>
      <w:r w:rsidR="005970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970EE">
        <w:rPr>
          <w:rFonts w:ascii="Times New Roman" w:eastAsia="Times New Roman" w:hAnsi="Times New Roman" w:cs="Times New Roman"/>
          <w:sz w:val="24"/>
        </w:rPr>
        <w:t>aktų</w:t>
      </w:r>
      <w:proofErr w:type="spellEnd"/>
      <w:r w:rsidR="005970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970EE">
        <w:rPr>
          <w:rFonts w:ascii="Times New Roman" w:eastAsia="Times New Roman" w:hAnsi="Times New Roman" w:cs="Times New Roman"/>
          <w:sz w:val="24"/>
        </w:rPr>
        <w:t>nustatyta</w:t>
      </w:r>
      <w:proofErr w:type="spellEnd"/>
      <w:r w:rsidR="005970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970EE">
        <w:rPr>
          <w:rFonts w:ascii="Times New Roman" w:eastAsia="Times New Roman" w:hAnsi="Times New Roman" w:cs="Times New Roman"/>
          <w:sz w:val="24"/>
        </w:rPr>
        <w:t>tvarka</w:t>
      </w:r>
      <w:proofErr w:type="spellEnd"/>
      <w:r w:rsidR="005970EE">
        <w:rPr>
          <w:rFonts w:ascii="Times New Roman" w:eastAsia="Times New Roman" w:hAnsi="Times New Roman" w:cs="Times New Roman"/>
          <w:sz w:val="24"/>
        </w:rPr>
        <w:t>.</w:t>
      </w:r>
    </w:p>
    <w:p w:rsidR="00215B07" w:rsidRDefault="00FC14AA" w:rsidP="0021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A319F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Tėvai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319F0">
        <w:rPr>
          <w:rFonts w:ascii="Times New Roman" w:eastAsia="Times New Roman" w:hAnsi="Times New Roman" w:cs="Times New Roman"/>
          <w:sz w:val="24"/>
        </w:rPr>
        <w:t>dėl</w:t>
      </w:r>
      <w:proofErr w:type="spellEnd"/>
      <w:proofErr w:type="gram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lankančio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vaiko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maitinimo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privalo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pranešti</w:t>
      </w:r>
      <w:proofErr w:type="spellEnd"/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įstaigai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apie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neatvykimą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31B">
        <w:rPr>
          <w:rFonts w:ascii="Times New Roman" w:eastAsia="Times New Roman" w:hAnsi="Times New Roman" w:cs="Times New Roman"/>
          <w:sz w:val="24"/>
        </w:rPr>
        <w:t>iki</w:t>
      </w:r>
      <w:proofErr w:type="spellEnd"/>
      <w:r w:rsidR="004D631B">
        <w:rPr>
          <w:rFonts w:ascii="Times New Roman" w:eastAsia="Times New Roman" w:hAnsi="Times New Roman" w:cs="Times New Roman"/>
          <w:sz w:val="24"/>
        </w:rPr>
        <w:t xml:space="preserve"> 9.00 val.</w:t>
      </w:r>
      <w:r w:rsidR="00A319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319F0">
        <w:rPr>
          <w:rFonts w:ascii="Times New Roman" w:eastAsia="Times New Roman" w:hAnsi="Times New Roman" w:cs="Times New Roman"/>
          <w:sz w:val="24"/>
        </w:rPr>
        <w:t>nu</w:t>
      </w:r>
      <w:r w:rsidR="00215B07">
        <w:rPr>
          <w:rFonts w:ascii="Times New Roman" w:eastAsia="Times New Roman" w:hAnsi="Times New Roman" w:cs="Times New Roman"/>
          <w:sz w:val="24"/>
        </w:rPr>
        <w:t>rodytu</w:t>
      </w:r>
      <w:proofErr w:type="spellEnd"/>
      <w:r w:rsidR="00215B0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sz w:val="24"/>
        </w:rPr>
        <w:t>telefonu</w:t>
      </w:r>
      <w:proofErr w:type="spellEnd"/>
      <w:r w:rsidR="00215B0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sz w:val="24"/>
        </w:rPr>
        <w:t>nustatytu</w:t>
      </w:r>
      <w:proofErr w:type="spellEnd"/>
      <w:r w:rsidR="00215B0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5B07">
        <w:rPr>
          <w:rFonts w:ascii="Times New Roman" w:eastAsia="Times New Roman" w:hAnsi="Times New Roman" w:cs="Times New Roman"/>
          <w:sz w:val="24"/>
        </w:rPr>
        <w:t>laik</w:t>
      </w:r>
      <w:proofErr w:type="spellEnd"/>
    </w:p>
    <w:p w:rsidR="005970EE" w:rsidRPr="00215B07" w:rsidRDefault="005970EE" w:rsidP="0021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FC14AA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Maitinimų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2B23">
        <w:rPr>
          <w:rFonts w:ascii="Times New Roman" w:eastAsia="Times New Roman" w:hAnsi="Times New Roman" w:cs="Times New Roman"/>
          <w:sz w:val="24"/>
          <w:szCs w:val="24"/>
          <w:lang w:val="lt-LT"/>
        </w:rPr>
        <w:t>( be</w:t>
      </w:r>
      <w:proofErr w:type="gramEnd"/>
      <w:r w:rsidR="00A12B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maitinimo, 1 maitinimas, 2 maitinimai, 3 maitinimai) pasirenka tėvai, pateikdami auklėtojai prašymą. Einamą mėnesį maitinimų skaičius </w:t>
      </w:r>
      <w:proofErr w:type="spellStart"/>
      <w:r w:rsidR="00A12B23">
        <w:rPr>
          <w:rFonts w:ascii="Times New Roman" w:eastAsia="Times New Roman" w:hAnsi="Times New Roman" w:cs="Times New Roman"/>
          <w:sz w:val="24"/>
          <w:szCs w:val="24"/>
          <w:lang w:val="lt-LT"/>
        </w:rPr>
        <w:t>nekeičiamas.Informavus</w:t>
      </w:r>
      <w:proofErr w:type="spellEnd"/>
      <w:r w:rsidR="00A12B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 anksto , parašius prašymą, maitinimų skaičius bus pakeistas sekantį mėnesį.</w:t>
      </w:r>
    </w:p>
    <w:p w:rsidR="00A319F0" w:rsidRDefault="00A319F0" w:rsidP="00A31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A319F0" w:rsidRDefault="00A319F0" w:rsidP="00A319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9F0" w:rsidRDefault="00A319F0" w:rsidP="00A319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A12B23" w:rsidRPr="006843CD" w:rsidRDefault="00A12B23" w:rsidP="00AE0A69">
      <w:pPr>
        <w:rPr>
          <w:rFonts w:ascii="Times New Roman" w:hAnsi="Times New Roman" w:cs="Times New Roman"/>
        </w:rPr>
      </w:pPr>
    </w:p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A12B23" w:rsidRDefault="00A12B23" w:rsidP="00AE0A69"/>
    <w:p w:rsidR="006843CD" w:rsidRPr="006843CD" w:rsidRDefault="006843CD" w:rsidP="006843CD">
      <w:pPr>
        <w:spacing w:after="0"/>
      </w:pPr>
      <w:r>
        <w:t xml:space="preserve">                                                                                           </w:t>
      </w:r>
    </w:p>
    <w:p w:rsidR="00A12B23" w:rsidRDefault="006843CD" w:rsidP="006843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3CD">
        <w:rPr>
          <w:rFonts w:ascii="Times New Roman" w:hAnsi="Times New Roman" w:cs="Times New Roman"/>
        </w:rPr>
        <w:t xml:space="preserve">                                                   </w:t>
      </w:r>
      <w:r w:rsidR="00FC14AA">
        <w:rPr>
          <w:rFonts w:ascii="Times New Roman" w:hAnsi="Times New Roman" w:cs="Times New Roman"/>
        </w:rPr>
        <w:t xml:space="preserve">                   </w:t>
      </w:r>
    </w:p>
    <w:p w:rsidR="006843CD" w:rsidRDefault="006843CD" w:rsidP="006843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C14AA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6843CD" w:rsidRPr="006843CD" w:rsidRDefault="006843CD" w:rsidP="00684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B23" w:rsidRPr="00A12B23" w:rsidRDefault="00A12B23" w:rsidP="00AE0A69">
      <w:pPr>
        <w:rPr>
          <w:rFonts w:ascii="Times New Roman" w:hAnsi="Times New Roman" w:cs="Times New Roman"/>
        </w:rPr>
      </w:pPr>
    </w:p>
    <w:sectPr w:rsidR="00A12B23" w:rsidRPr="00A12B23" w:rsidSect="00B86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E0A69"/>
    <w:rsid w:val="000917F3"/>
    <w:rsid w:val="00180FAA"/>
    <w:rsid w:val="001B1034"/>
    <w:rsid w:val="001F0B31"/>
    <w:rsid w:val="00215B07"/>
    <w:rsid w:val="002B62AA"/>
    <w:rsid w:val="003C6A09"/>
    <w:rsid w:val="0041249B"/>
    <w:rsid w:val="004D631B"/>
    <w:rsid w:val="00501424"/>
    <w:rsid w:val="005970EE"/>
    <w:rsid w:val="005B2322"/>
    <w:rsid w:val="005F678D"/>
    <w:rsid w:val="00653233"/>
    <w:rsid w:val="006843CD"/>
    <w:rsid w:val="00756D7B"/>
    <w:rsid w:val="00774CEA"/>
    <w:rsid w:val="00A12B23"/>
    <w:rsid w:val="00A319F0"/>
    <w:rsid w:val="00A343E7"/>
    <w:rsid w:val="00AE0A69"/>
    <w:rsid w:val="00AF337A"/>
    <w:rsid w:val="00B00865"/>
    <w:rsid w:val="00B86F12"/>
    <w:rsid w:val="00CA15A5"/>
    <w:rsid w:val="00CC731E"/>
    <w:rsid w:val="00EC5619"/>
    <w:rsid w:val="00FA24A1"/>
    <w:rsid w:val="00FB60B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B845"/>
  <w15:docId w15:val="{E5E05CE2-76D1-4449-BDFB-8901FD6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0A69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4931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2017-09-08T11:15:00Z</cp:lastPrinted>
  <dcterms:created xsi:type="dcterms:W3CDTF">2017-09-07T07:56:00Z</dcterms:created>
  <dcterms:modified xsi:type="dcterms:W3CDTF">2019-09-06T10:43:00Z</dcterms:modified>
</cp:coreProperties>
</file>